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16" w:rsidRDefault="005C7016" w:rsidP="005C7016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ECD6A5" wp14:editId="3EF3645D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F0F9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5C7016" w:rsidRDefault="005C7016" w:rsidP="005C7016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5C7016" w:rsidRDefault="005C7016" w:rsidP="005C7016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Tam Kỳ, ngày   04  tháng 5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5C7016" w:rsidRDefault="005C7016" w:rsidP="005C7016">
      <w:pPr>
        <w:ind w:left="993" w:hanging="1713"/>
      </w:pPr>
      <w:r>
        <w:t xml:space="preserve">                                 Số 134 -LT/TU                        </w:t>
      </w:r>
    </w:p>
    <w:p w:rsidR="005C7016" w:rsidRPr="007E3ED3" w:rsidRDefault="005C7016" w:rsidP="005C7016">
      <w:pPr>
        <w:ind w:left="993" w:hanging="1713"/>
        <w:jc w:val="center"/>
        <w:rPr>
          <w:b/>
          <w:sz w:val="10"/>
          <w:szCs w:val="24"/>
        </w:rPr>
      </w:pPr>
    </w:p>
    <w:p w:rsidR="005C7016" w:rsidRPr="00881A65" w:rsidRDefault="005C7016" w:rsidP="005C7016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5C7016" w:rsidRDefault="005C7016" w:rsidP="005C7016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07/5/2018</w:t>
      </w:r>
      <w:r w:rsidRPr="00881A65">
        <w:rPr>
          <w:b/>
          <w:sz w:val="20"/>
        </w:rPr>
        <w:t xml:space="preserve"> </w:t>
      </w:r>
      <w:r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11/5/2018</w:t>
      </w:r>
      <w:r w:rsidRPr="00881A65">
        <w:rPr>
          <w:b/>
          <w:sz w:val="20"/>
        </w:rPr>
        <w:t>)</w:t>
      </w: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5C7016" w:rsidRPr="004E0682" w:rsidTr="002C6BB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5C7016" w:rsidRPr="00FF44EB" w:rsidRDefault="005C7016" w:rsidP="002C6BB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C7016" w:rsidRPr="00FF44EB" w:rsidRDefault="005C7016" w:rsidP="002C6BB9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C7016" w:rsidRPr="00FF44EB" w:rsidRDefault="005C7016" w:rsidP="002C6BB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822E4D" w:rsidRPr="004E0682" w:rsidTr="00E14F95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822E4D" w:rsidRPr="00FF44EB" w:rsidRDefault="00822E4D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07/5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22E4D" w:rsidRPr="00FF44EB" w:rsidRDefault="00822E4D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22E4D" w:rsidRPr="00FF44EB" w:rsidRDefault="00822E4D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22E4D" w:rsidRPr="004B56BB" w:rsidRDefault="00822E4D" w:rsidP="002C6BB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BT; A. Hưng – PBT làm việc tại cơ quan.</w:t>
            </w:r>
          </w:p>
        </w:tc>
        <w:tc>
          <w:tcPr>
            <w:tcW w:w="1661" w:type="dxa"/>
          </w:tcPr>
          <w:p w:rsidR="00822E4D" w:rsidRPr="004B56BB" w:rsidRDefault="00822E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22E4D" w:rsidRPr="004B56BB" w:rsidRDefault="00822E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22E4D" w:rsidRPr="004F3B00" w:rsidRDefault="00822E4D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E4D" w:rsidRPr="004769EA" w:rsidRDefault="00822E4D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22E4D" w:rsidRPr="004E0682" w:rsidTr="00E14F95">
        <w:trPr>
          <w:trHeight w:val="410"/>
          <w:jc w:val="center"/>
        </w:trPr>
        <w:tc>
          <w:tcPr>
            <w:tcW w:w="845" w:type="dxa"/>
            <w:vMerge/>
            <w:vAlign w:val="center"/>
          </w:tcPr>
          <w:p w:rsidR="00822E4D" w:rsidRPr="00FF44EB" w:rsidRDefault="00822E4D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22E4D" w:rsidRDefault="00822E4D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22E4D" w:rsidRDefault="00822E4D" w:rsidP="002C6BB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22E4D">
              <w:rPr>
                <w:b/>
                <w:color w:val="auto"/>
                <w:sz w:val="16"/>
                <w:szCs w:val="16"/>
              </w:rPr>
              <w:t>- 16h-17h00:</w:t>
            </w:r>
            <w:r>
              <w:rPr>
                <w:color w:val="auto"/>
                <w:sz w:val="16"/>
                <w:szCs w:val="16"/>
              </w:rPr>
              <w:t xml:space="preserve"> A. Lúa – BT làm việc với A. Ảnh – UVTV, PCT UBND về tình hình GPMB.</w:t>
            </w:r>
          </w:p>
        </w:tc>
        <w:tc>
          <w:tcPr>
            <w:tcW w:w="1661" w:type="dxa"/>
          </w:tcPr>
          <w:p w:rsidR="00822E4D" w:rsidRPr="004B56BB" w:rsidRDefault="00822E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822E4D" w:rsidRPr="004B56BB" w:rsidRDefault="00822E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22E4D" w:rsidRPr="004F3B00" w:rsidRDefault="00822E4D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E4D" w:rsidRPr="004769EA" w:rsidRDefault="00822E4D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22E4D" w:rsidRPr="004E0682" w:rsidTr="002C6BB9">
        <w:trPr>
          <w:trHeight w:val="626"/>
          <w:jc w:val="center"/>
        </w:trPr>
        <w:tc>
          <w:tcPr>
            <w:tcW w:w="845" w:type="dxa"/>
            <w:vMerge/>
            <w:vAlign w:val="center"/>
          </w:tcPr>
          <w:p w:rsidR="00822E4D" w:rsidRPr="00FF44EB" w:rsidRDefault="00822E4D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22E4D" w:rsidRDefault="00822E4D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822E4D" w:rsidRPr="00822E4D" w:rsidRDefault="00822E4D" w:rsidP="002C6BB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- 1900: </w:t>
            </w:r>
            <w:r>
              <w:rPr>
                <w:color w:val="auto"/>
                <w:sz w:val="16"/>
                <w:szCs w:val="16"/>
              </w:rPr>
              <w:t>A. Hưng – PBT dự Lễ đón bằng UNECO công nhận nghệ thuật bài chòi Trung bộ Việt Nam là di sản văn hóa phi vật thể đại diện của nhân loại.</w:t>
            </w:r>
          </w:p>
        </w:tc>
        <w:tc>
          <w:tcPr>
            <w:tcW w:w="1661" w:type="dxa"/>
          </w:tcPr>
          <w:p w:rsidR="00822E4D" w:rsidRDefault="00822E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Công viên Đồng Hiệp, Hội An</w:t>
            </w:r>
          </w:p>
        </w:tc>
        <w:tc>
          <w:tcPr>
            <w:tcW w:w="3164" w:type="dxa"/>
          </w:tcPr>
          <w:p w:rsidR="00822E4D" w:rsidRPr="004B56BB" w:rsidRDefault="00822E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822E4D" w:rsidRPr="004F3B00" w:rsidRDefault="00822E4D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E4D" w:rsidRPr="004769EA" w:rsidRDefault="00F77D25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C7016" w:rsidRPr="004E0682" w:rsidTr="00E14F95">
        <w:trPr>
          <w:trHeight w:val="500"/>
          <w:jc w:val="center"/>
        </w:trPr>
        <w:tc>
          <w:tcPr>
            <w:tcW w:w="845" w:type="dxa"/>
            <w:vMerge w:val="restart"/>
            <w:vAlign w:val="center"/>
          </w:tcPr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08/5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F5F7C" w:rsidRDefault="006F5F7C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  <w:p w:rsidR="005C7016" w:rsidRPr="00BA54F4" w:rsidRDefault="00E14F95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Thắng – UVTV, CT UBMTTQVN thành phố cùng tổ giám sát Thành ủy giám sát Đảng ủy xã Tam Thanh.</w:t>
            </w: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536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C7016" w:rsidRDefault="005C7016" w:rsidP="002C6B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- 14h0</w:t>
            </w:r>
            <w:r w:rsidRPr="00E26F66">
              <w:rPr>
                <w:b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 xml:space="preserve"> Thường trực Thành ủy làm việc với </w:t>
            </w:r>
            <w:r w:rsidR="00F77D25">
              <w:rPr>
                <w:sz w:val="16"/>
                <w:szCs w:val="16"/>
              </w:rPr>
              <w:t xml:space="preserve">cán bộ, viên chức </w:t>
            </w:r>
            <w:r>
              <w:rPr>
                <w:sz w:val="16"/>
                <w:szCs w:val="16"/>
              </w:rPr>
              <w:t>Ban quản lý dự án ĐTXD  về tình hình thực hiện nhiệm vụ trong thời gian qua, phương hướng nhiệm vụ trong thời gian tới.</w:t>
            </w:r>
          </w:p>
          <w:p w:rsidR="00E14F95" w:rsidRPr="00BA54F4" w:rsidRDefault="00E14F95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Thắng – UVTV, CT UBMTTQVN thành phố cùng tổ giám sát Thành ủy giám sát Đảng ủy xã Tam Phú.</w:t>
            </w:r>
          </w:p>
        </w:tc>
        <w:tc>
          <w:tcPr>
            <w:tcW w:w="1661" w:type="dxa"/>
          </w:tcPr>
          <w:p w:rsidR="005C7016" w:rsidRPr="004B56BB" w:rsidRDefault="00F77D25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và các phòng, ban liên quan</w:t>
            </w: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581"/>
          <w:jc w:val="center"/>
        </w:trPr>
        <w:tc>
          <w:tcPr>
            <w:tcW w:w="845" w:type="dxa"/>
            <w:vMerge w:val="restart"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09/5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C7016" w:rsidRDefault="00F77D25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đi cơ sở.</w:t>
            </w:r>
          </w:p>
          <w:p w:rsidR="00A23BB8" w:rsidRPr="00BA54F4" w:rsidRDefault="00A23BB8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cùng Thường trực HĐND giám sát UBND xã Tam Phú về xây dựng Nông thôn mới.</w:t>
            </w:r>
          </w:p>
        </w:tc>
        <w:tc>
          <w:tcPr>
            <w:tcW w:w="1661" w:type="dxa"/>
          </w:tcPr>
          <w:p w:rsidR="005C7016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A23BB8" w:rsidRPr="004B56BB" w:rsidRDefault="00A23BB8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xã Tam Phú</w:t>
            </w: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437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C7016" w:rsidRPr="00BA54F4" w:rsidRDefault="00A23BB8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chủ trì cùng Ban KT-XH làm việc với phòng TNMT theo chương trình giám sát của HĐND.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5C7016" w:rsidRPr="004B56BB" w:rsidRDefault="00A23BB8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C7016" w:rsidRPr="00BA54F4" w:rsidRDefault="005C7016" w:rsidP="002C6BB9">
            <w:pPr>
              <w:jc w:val="both"/>
              <w:rPr>
                <w:sz w:val="16"/>
                <w:szCs w:val="16"/>
              </w:rPr>
            </w:pPr>
            <w:r w:rsidRPr="00EB58E6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A. Lúa – BT dự Đại hội công đoàn tỉnh Quảng Nam lần thứ XVI, nhiệm kỳ 2018-2023.</w:t>
            </w: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 tỉnh</w:t>
            </w: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5C7016" w:rsidRPr="004E0682" w:rsidTr="002C6BB9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C7016" w:rsidRPr="00BA54F4" w:rsidRDefault="006F5F7C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11/5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C7016" w:rsidRPr="00FF44EB" w:rsidRDefault="005C7016" w:rsidP="002C6BB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C7016" w:rsidRPr="00BA54F4" w:rsidRDefault="00F77D25" w:rsidP="002C6BB9">
            <w:pPr>
              <w:rPr>
                <w:sz w:val="16"/>
                <w:szCs w:val="16"/>
              </w:rPr>
            </w:pPr>
            <w:r w:rsidRPr="00F77D25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Ban Thường vụ Thành ủy làm việc với Đoàn giải quyết khiếu nại của UBKT Tỉnh ủy.</w:t>
            </w:r>
          </w:p>
        </w:tc>
        <w:tc>
          <w:tcPr>
            <w:tcW w:w="1661" w:type="dxa"/>
          </w:tcPr>
          <w:p w:rsidR="005C7016" w:rsidRPr="004B56BB" w:rsidRDefault="00F77D25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5C7016" w:rsidRPr="004B56BB" w:rsidRDefault="00F77D25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06" w:type="dxa"/>
          </w:tcPr>
          <w:p w:rsidR="005C7016" w:rsidRPr="004F3B00" w:rsidRDefault="00F77D25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F77D25" w:rsidRDefault="00F77D25" w:rsidP="002C6BB9">
            <w:pPr>
              <w:rPr>
                <w:sz w:val="16"/>
                <w:szCs w:val="16"/>
              </w:rPr>
            </w:pPr>
            <w:r w:rsidRPr="006F5F7C">
              <w:rPr>
                <w:b/>
                <w:sz w:val="16"/>
                <w:szCs w:val="16"/>
              </w:rPr>
              <w:t xml:space="preserve">- </w:t>
            </w:r>
            <w:r w:rsidR="006F5F7C" w:rsidRPr="006F5F7C">
              <w:rPr>
                <w:b/>
                <w:sz w:val="16"/>
                <w:szCs w:val="16"/>
              </w:rPr>
              <w:t>14h00:</w:t>
            </w:r>
            <w:r w:rsidR="006F5F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Lúa – BT dự nghe về giá đất tại địa bàn xã Tam Thanh.</w:t>
            </w:r>
          </w:p>
          <w:p w:rsidR="005C7016" w:rsidRPr="00BA54F4" w:rsidRDefault="007B6C04" w:rsidP="00F77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A. </w:t>
            </w:r>
            <w:r w:rsidR="00F77D25">
              <w:rPr>
                <w:sz w:val="16"/>
                <w:szCs w:val="16"/>
              </w:rPr>
              <w:t>Hưng - PBT</w:t>
            </w:r>
            <w:r>
              <w:rPr>
                <w:sz w:val="16"/>
                <w:szCs w:val="16"/>
              </w:rPr>
              <w:t xml:space="preserve"> dự Lễ kỷ niệm 70 năm thành lập huyện Phước Sơn.</w:t>
            </w:r>
          </w:p>
        </w:tc>
        <w:tc>
          <w:tcPr>
            <w:tcW w:w="1661" w:type="dxa"/>
          </w:tcPr>
          <w:p w:rsidR="005C7016" w:rsidRPr="004B56BB" w:rsidRDefault="006F5F7C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64" w:type="dxa"/>
          </w:tcPr>
          <w:p w:rsidR="0035384D" w:rsidRDefault="0035384D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C7016" w:rsidRPr="004B56BB" w:rsidRDefault="007B6C04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F77D25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C7016" w:rsidRPr="004E0682" w:rsidTr="002C6BB9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5C7016" w:rsidRPr="00BA54F4" w:rsidRDefault="005C7016" w:rsidP="002C6BB9">
            <w:pPr>
              <w:rPr>
                <w:sz w:val="16"/>
                <w:szCs w:val="16"/>
              </w:rPr>
            </w:pPr>
            <w:r w:rsidRPr="00624109">
              <w:rPr>
                <w:b/>
                <w:sz w:val="16"/>
                <w:szCs w:val="16"/>
              </w:rPr>
              <w:t>- 19h00:</w:t>
            </w:r>
            <w:r>
              <w:rPr>
                <w:sz w:val="16"/>
                <w:szCs w:val="16"/>
              </w:rPr>
              <w:t xml:space="preserve"> </w:t>
            </w:r>
            <w:r w:rsidR="00F77D25">
              <w:rPr>
                <w:sz w:val="16"/>
                <w:szCs w:val="16"/>
              </w:rPr>
              <w:t xml:space="preserve">A. Hưng - PBT </w:t>
            </w:r>
            <w:r>
              <w:rPr>
                <w:sz w:val="16"/>
                <w:szCs w:val="16"/>
              </w:rPr>
              <w:t>dự Lễ kỷ niệm 50 năm chiến thắng Khâm Đức – Ngok Tavat và 70 năm ngày thành lập huyện Phước Sơn.</w:t>
            </w: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Sân vận động huyện Phước Sơn</w:t>
            </w: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F77D25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</w:tbl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Default="005C7016" w:rsidP="005C7016">
      <w:pPr>
        <w:ind w:left="993" w:hanging="1713"/>
        <w:jc w:val="center"/>
        <w:rPr>
          <w:b/>
          <w:sz w:val="20"/>
        </w:rPr>
      </w:pPr>
    </w:p>
    <w:p w:rsidR="005C7016" w:rsidRPr="00892EC7" w:rsidRDefault="005C7016" w:rsidP="005C7016">
      <w:pPr>
        <w:ind w:left="993" w:hanging="1713"/>
        <w:jc w:val="center"/>
        <w:rPr>
          <w:b/>
          <w:sz w:val="8"/>
        </w:rPr>
      </w:pPr>
    </w:p>
    <w:p w:rsidR="005C7016" w:rsidRDefault="005C7016" w:rsidP="005C7016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5C7016" w:rsidRPr="004E0682" w:rsidRDefault="005C7016" w:rsidP="005C7016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5C7016" w:rsidRDefault="005C7016" w:rsidP="005C7016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>
        <w:rPr>
          <w:b/>
          <w:sz w:val="20"/>
        </w:rPr>
        <w:t>14</w:t>
      </w:r>
      <w:r w:rsidRPr="004E0682">
        <w:rPr>
          <w:b/>
          <w:sz w:val="20"/>
        </w:rPr>
        <w:t>/</w:t>
      </w:r>
      <w:r>
        <w:rPr>
          <w:b/>
          <w:sz w:val="20"/>
        </w:rPr>
        <w:t>5/2018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>
        <w:rPr>
          <w:b/>
          <w:sz w:val="20"/>
        </w:rPr>
        <w:t>18/5/2018</w:t>
      </w:r>
      <w:r w:rsidRPr="004E0682">
        <w:rPr>
          <w:b/>
          <w:sz w:val="20"/>
        </w:rPr>
        <w:t>)</w:t>
      </w:r>
    </w:p>
    <w:p w:rsidR="005C7016" w:rsidRDefault="005C7016" w:rsidP="005C7016">
      <w:pPr>
        <w:ind w:right="-1008"/>
        <w:jc w:val="center"/>
        <w:rPr>
          <w:b/>
          <w:sz w:val="20"/>
        </w:rPr>
      </w:pPr>
    </w:p>
    <w:p w:rsidR="005C7016" w:rsidRDefault="005C7016" w:rsidP="005C7016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5C7016" w:rsidRPr="004E0682" w:rsidTr="002C6BB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5C7016" w:rsidRPr="00FF44EB" w:rsidRDefault="005C7016" w:rsidP="002C6BB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C7016" w:rsidRPr="00FF44EB" w:rsidRDefault="005C7016" w:rsidP="002C6BB9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C7016" w:rsidRPr="00FF44EB" w:rsidRDefault="005C7016" w:rsidP="002C6BB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C7016" w:rsidRPr="00FF44EB" w:rsidRDefault="005C7016" w:rsidP="002C6BB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5C7016" w:rsidRPr="004E0682" w:rsidTr="00F77D25">
        <w:trPr>
          <w:trHeight w:val="473"/>
          <w:jc w:val="center"/>
        </w:trPr>
        <w:tc>
          <w:tcPr>
            <w:tcW w:w="845" w:type="dxa"/>
            <w:vMerge w:val="restart"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 w:rsidR="00E44B28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C7016" w:rsidRPr="004B56BB" w:rsidRDefault="005C7016" w:rsidP="002C6BB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F77D25">
        <w:trPr>
          <w:trHeight w:val="347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C7016" w:rsidRDefault="005C7016" w:rsidP="002C6BB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F77D25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 w:rsidR="00E44B28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Pr="00FF44EB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C7016" w:rsidRPr="00BA54F4" w:rsidRDefault="005C7016" w:rsidP="002C6BB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7016" w:rsidRPr="004E0682" w:rsidTr="002C6BB9">
        <w:trPr>
          <w:trHeight w:val="536"/>
          <w:jc w:val="center"/>
        </w:trPr>
        <w:tc>
          <w:tcPr>
            <w:tcW w:w="845" w:type="dxa"/>
            <w:vMerge/>
            <w:vAlign w:val="center"/>
          </w:tcPr>
          <w:p w:rsidR="005C7016" w:rsidRPr="00FF44EB" w:rsidRDefault="005C7016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7016" w:rsidRDefault="005C7016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C7016" w:rsidRPr="00BA54F4" w:rsidRDefault="005C7016" w:rsidP="002C6BB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5C7016" w:rsidRPr="004B56BB" w:rsidRDefault="005C7016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C7016" w:rsidRPr="004F3B00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7016" w:rsidRPr="004769EA" w:rsidRDefault="005C7016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2740F" w:rsidRPr="004E0682" w:rsidTr="00F77D25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E44B28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2740F" w:rsidRPr="00FF44EB" w:rsidRDefault="00F2740F" w:rsidP="002C6BB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740F" w:rsidRPr="00FF44EB" w:rsidRDefault="00F2740F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2740F" w:rsidRPr="00BA54F4" w:rsidRDefault="00F2740F" w:rsidP="002C6BB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2740F" w:rsidRPr="004F3B00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0F" w:rsidRPr="004769EA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2740F" w:rsidRPr="004E0682" w:rsidTr="002C6BB9">
        <w:trPr>
          <w:trHeight w:val="437"/>
          <w:jc w:val="center"/>
        </w:trPr>
        <w:tc>
          <w:tcPr>
            <w:tcW w:w="845" w:type="dxa"/>
            <w:vMerge/>
            <w:vAlign w:val="center"/>
          </w:tcPr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740F" w:rsidRDefault="00F2740F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2740F" w:rsidRPr="00BA54F4" w:rsidRDefault="00F2740F" w:rsidP="002C6B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- 14h0</w:t>
            </w:r>
            <w:r w:rsidRPr="00E26F66">
              <w:rPr>
                <w:b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 xml:space="preserve"> Thường trực Thành ủy làm việc với Đảng ủy- UBND phường Phước Hòa về tình hình thực hiện nhiệm vụ 4 tháng đầu năm, nhiệm vụ còn lại của năm 2018.</w:t>
            </w:r>
          </w:p>
        </w:tc>
        <w:tc>
          <w:tcPr>
            <w:tcW w:w="1661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P. Phước Hòa</w:t>
            </w:r>
          </w:p>
        </w:tc>
        <w:tc>
          <w:tcPr>
            <w:tcW w:w="3164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và các phòng, ban liên quan; các Ban XDĐ, MT và các đoàn thể TP dự (Lịch thay GM).</w:t>
            </w:r>
          </w:p>
        </w:tc>
        <w:tc>
          <w:tcPr>
            <w:tcW w:w="1406" w:type="dxa"/>
          </w:tcPr>
          <w:p w:rsidR="00F2740F" w:rsidRPr="004F3B00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2740F" w:rsidRPr="004769EA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F2740F" w:rsidRPr="004E0682" w:rsidTr="002C6BB9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F2740F" w:rsidRPr="00FF44EB" w:rsidRDefault="00E44B28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</w:t>
            </w:r>
            <w:r w:rsidR="00F2740F">
              <w:rPr>
                <w:b/>
                <w:sz w:val="16"/>
                <w:szCs w:val="16"/>
              </w:rPr>
              <w:t>/5</w:t>
            </w:r>
            <w:r w:rsidR="00F2740F" w:rsidRPr="00FF44EB">
              <w:rPr>
                <w:b/>
                <w:sz w:val="16"/>
                <w:szCs w:val="16"/>
              </w:rPr>
              <w:t>)</w:t>
            </w:r>
          </w:p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740F" w:rsidRPr="00FF44EB" w:rsidRDefault="00F2740F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2740F" w:rsidRPr="00BA54F4" w:rsidRDefault="00F2740F" w:rsidP="002C6B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2740F" w:rsidRPr="004F3B00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0F" w:rsidRPr="004769EA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2740F" w:rsidRPr="004E0682" w:rsidTr="002C6BB9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740F" w:rsidRDefault="00F2740F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2740F" w:rsidRPr="00BA54F4" w:rsidRDefault="00F2740F" w:rsidP="002C6BB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2740F" w:rsidRPr="004F3B00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0F" w:rsidRPr="004769EA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2740F" w:rsidRPr="004E0682" w:rsidTr="002C6BB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F2740F" w:rsidRPr="00FF44EB" w:rsidRDefault="00F2740F" w:rsidP="002C6BB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E44B28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/5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2740F" w:rsidRPr="00FF44EB" w:rsidRDefault="00F2740F" w:rsidP="002C6BB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740F" w:rsidRPr="00FF44EB" w:rsidRDefault="00F2740F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2740F" w:rsidRPr="00BA54F4" w:rsidRDefault="00F2740F" w:rsidP="002C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2740F" w:rsidRPr="004F3B00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0F" w:rsidRPr="004769EA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2740F" w:rsidRPr="004E0682" w:rsidTr="00F77D25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F2740F" w:rsidRPr="00FF44EB" w:rsidRDefault="00F2740F" w:rsidP="002C6BB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740F" w:rsidRPr="00FF44EB" w:rsidRDefault="00F2740F" w:rsidP="002C6BB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2740F" w:rsidRPr="00BA54F4" w:rsidRDefault="00F2740F" w:rsidP="002C6BB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2740F" w:rsidRPr="004B56BB" w:rsidRDefault="00F2740F" w:rsidP="002C6BB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2740F" w:rsidRPr="004F3B00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740F" w:rsidRPr="004769EA" w:rsidRDefault="00F2740F" w:rsidP="002C6BB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5C7016" w:rsidRPr="00105B36" w:rsidRDefault="005C7016" w:rsidP="005C7016">
      <w:pPr>
        <w:ind w:right="-1008"/>
        <w:jc w:val="center"/>
        <w:rPr>
          <w:b/>
          <w:sz w:val="10"/>
        </w:rPr>
      </w:pPr>
    </w:p>
    <w:p w:rsidR="005C7016" w:rsidRDefault="005C7016" w:rsidP="005C7016">
      <w:pPr>
        <w:ind w:right="-1008"/>
        <w:rPr>
          <w:sz w:val="4"/>
          <w:szCs w:val="24"/>
        </w:rPr>
      </w:pPr>
    </w:p>
    <w:p w:rsidR="005C7016" w:rsidRPr="008E50E2" w:rsidRDefault="005C7016" w:rsidP="005C7016">
      <w:pPr>
        <w:ind w:right="-1008"/>
        <w:rPr>
          <w:sz w:val="4"/>
          <w:szCs w:val="24"/>
        </w:rPr>
      </w:pPr>
    </w:p>
    <w:p w:rsidR="005C7016" w:rsidRDefault="005C7016" w:rsidP="005C7016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Lịch tuần dự kiến: </w:t>
      </w:r>
    </w:p>
    <w:p w:rsidR="005C7016" w:rsidRDefault="005C7016" w:rsidP="005C7016">
      <w:pPr>
        <w:ind w:left="720" w:right="-1008"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F2740F">
        <w:rPr>
          <w:color w:val="auto"/>
          <w:sz w:val="24"/>
          <w:szCs w:val="24"/>
        </w:rPr>
        <w:t xml:space="preserve"> </w:t>
      </w:r>
      <w:r w:rsidR="00F2740F" w:rsidRPr="00F2740F">
        <w:rPr>
          <w:color w:val="auto"/>
          <w:sz w:val="24"/>
          <w:szCs w:val="24"/>
        </w:rPr>
        <w:t>Thường trực Thành ủy làm việc với</w:t>
      </w:r>
      <w:r w:rsidR="00F77D25">
        <w:rPr>
          <w:color w:val="auto"/>
          <w:sz w:val="24"/>
          <w:szCs w:val="24"/>
        </w:rPr>
        <w:t xml:space="preserve"> Công ty DHC;</w:t>
      </w:r>
      <w:r w:rsidR="00F2740F" w:rsidRPr="00F2740F">
        <w:rPr>
          <w:color w:val="auto"/>
          <w:sz w:val="24"/>
          <w:szCs w:val="24"/>
        </w:rPr>
        <w:t xml:space="preserve"> Mặt trận và các đoàn thể thành phố</w:t>
      </w:r>
      <w:r w:rsidR="00F77D25">
        <w:rPr>
          <w:color w:val="auto"/>
          <w:sz w:val="24"/>
          <w:szCs w:val="24"/>
        </w:rPr>
        <w:t>;</w:t>
      </w:r>
    </w:p>
    <w:p w:rsidR="00F77D25" w:rsidRDefault="00F77D25" w:rsidP="005C7016">
      <w:pPr>
        <w:ind w:left="720" w:right="-1008"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Nghe UBND báo cáo Đề án sáp nhập thôn, khối phố; Đề án sắp xếp lại các Hội quần chúng.</w:t>
      </w:r>
    </w:p>
    <w:p w:rsidR="005C7016" w:rsidRPr="00B9291F" w:rsidRDefault="005C7016" w:rsidP="005C7016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5C7016" w:rsidRPr="00B76552" w:rsidRDefault="005C7016" w:rsidP="005C7016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5C7016" w:rsidRPr="002D119E" w:rsidRDefault="005C7016" w:rsidP="005C7016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5C7016" w:rsidRDefault="005C7016" w:rsidP="005C7016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5C7016" w:rsidRPr="00F821B9" w:rsidRDefault="005C7016" w:rsidP="005C7016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 xml:space="preserve">     </w:t>
      </w:r>
      <w:r w:rsidRPr="00F821B9">
        <w:t>CHÁNH VĂN PHÒNG</w:t>
      </w:r>
    </w:p>
    <w:p w:rsidR="005C7016" w:rsidRDefault="005C7016" w:rsidP="005C7016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7016" w:rsidRDefault="005C7016" w:rsidP="005C7016">
      <w:pPr>
        <w:ind w:right="-1009"/>
        <w:rPr>
          <w:i/>
        </w:rPr>
      </w:pPr>
    </w:p>
    <w:p w:rsidR="005C7016" w:rsidRDefault="005C7016" w:rsidP="005C7016">
      <w:pPr>
        <w:ind w:right="-1009"/>
        <w:rPr>
          <w:i/>
          <w:sz w:val="30"/>
        </w:rPr>
      </w:pPr>
    </w:p>
    <w:p w:rsidR="005C7016" w:rsidRPr="00EA3809" w:rsidRDefault="005C7016" w:rsidP="005C7016">
      <w:pPr>
        <w:ind w:right="-1009"/>
        <w:rPr>
          <w:i/>
          <w:sz w:val="30"/>
        </w:rPr>
      </w:pPr>
    </w:p>
    <w:p w:rsidR="002F6E30" w:rsidRDefault="005C7016" w:rsidP="005C7016">
      <w:pPr>
        <w:ind w:left="10800" w:right="-1009"/>
      </w:pPr>
      <w:r>
        <w:rPr>
          <w:b/>
        </w:rPr>
        <w:t xml:space="preserve">          Phan Bá Hội</w:t>
      </w:r>
    </w:p>
    <w:sectPr w:rsidR="002F6E30" w:rsidSect="0030702B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6" w:rsidRDefault="00E021A6">
      <w:r>
        <w:separator/>
      </w:r>
    </w:p>
  </w:endnote>
  <w:endnote w:type="continuationSeparator" w:id="0">
    <w:p w:rsidR="00E021A6" w:rsidRDefault="00E0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7B6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E02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7B6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6CE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E02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6" w:rsidRDefault="00E021A6">
      <w:r>
        <w:separator/>
      </w:r>
    </w:p>
  </w:footnote>
  <w:footnote w:type="continuationSeparator" w:id="0">
    <w:p w:rsidR="00E021A6" w:rsidRDefault="00E0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16"/>
    <w:rsid w:val="00255443"/>
    <w:rsid w:val="002F6E30"/>
    <w:rsid w:val="0035384D"/>
    <w:rsid w:val="005C7016"/>
    <w:rsid w:val="005F4ED4"/>
    <w:rsid w:val="006F5F7C"/>
    <w:rsid w:val="007B6C04"/>
    <w:rsid w:val="00822E4D"/>
    <w:rsid w:val="00A23BB8"/>
    <w:rsid w:val="00B15AF8"/>
    <w:rsid w:val="00E021A6"/>
    <w:rsid w:val="00E14F95"/>
    <w:rsid w:val="00E44B28"/>
    <w:rsid w:val="00F046CE"/>
    <w:rsid w:val="00F2740F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BFF54-8164-463B-892B-A18A253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16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5C701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016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5C70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7016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5C7016"/>
  </w:style>
  <w:style w:type="paragraph" w:styleId="BalloonText">
    <w:name w:val="Balloon Text"/>
    <w:basedOn w:val="Normal"/>
    <w:link w:val="BalloonTextChar"/>
    <w:uiPriority w:val="99"/>
    <w:semiHidden/>
    <w:unhideWhenUsed/>
    <w:rsid w:val="00F04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CE"/>
    <w:rPr>
      <w:rFonts w:ascii="Segoe UI" w:eastAsia="Times New Roman" w:hAnsi="Segoe UI" w:cs="Segoe UI"/>
      <w:bCs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2018-05-05T23:58:00Z</cp:lastPrinted>
  <dcterms:created xsi:type="dcterms:W3CDTF">2018-05-05T23:59:00Z</dcterms:created>
  <dcterms:modified xsi:type="dcterms:W3CDTF">2018-05-05T23:59:00Z</dcterms:modified>
</cp:coreProperties>
</file>